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3FEF" w:rsidRPr="008A3FEF" w:rsidRDefault="008A3FEF" w:rsidP="008A3FEF">
      <w:pPr>
        <w:rPr>
          <w:b/>
          <w:lang w:val="ru-RU"/>
        </w:rPr>
      </w:pPr>
      <w:r w:rsidRPr="008A3FEF">
        <w:rPr>
          <w:b/>
          <w:highlight w:val="yellow"/>
        </w:rPr>
        <w:t xml:space="preserve">Assignment </w:t>
      </w:r>
      <w:r w:rsidRPr="008A3FEF">
        <w:rPr>
          <w:b/>
          <w:highlight w:val="yellow"/>
          <w:lang w:val="ru-RU"/>
        </w:rPr>
        <w:t>3</w:t>
      </w:r>
    </w:p>
    <w:p w:rsidR="00E75F05" w:rsidRPr="008A3FEF" w:rsidRDefault="00E75F05"/>
    <w:p w:rsidR="008A3FEF" w:rsidRDefault="00CD6581" w:rsidP="00D306C4">
      <w:pPr>
        <w:pStyle w:val="a4"/>
        <w:shd w:val="clear" w:color="auto" w:fill="FFFFFF"/>
        <w:spacing w:beforeAutospacing="0" w:after="210" w:afterAutospacing="0"/>
        <w:ind w:right="-341"/>
        <w:rPr>
          <w:rFonts w:asciiTheme="minorHAnsi" w:eastAsiaTheme="minorEastAsia" w:hAnsiTheme="minorHAnsi" w:cstheme="minorBidi"/>
          <w:b/>
          <w:szCs w:val="20"/>
          <w:lang w:val="ru-RU"/>
        </w:rPr>
      </w:pPr>
      <w:r w:rsidRPr="008A3FEF">
        <w:rPr>
          <w:rFonts w:asciiTheme="minorHAnsi" w:eastAsiaTheme="minorEastAsia" w:hAnsiTheme="minorHAnsi" w:cstheme="minorBidi"/>
          <w:b/>
          <w:szCs w:val="20"/>
        </w:rPr>
        <w:t xml:space="preserve">Read the Introduction to the research paper titled “An experimental investigation into the effect of pore size distribution on the acid-rock reaction in carbonate acidizing” by </w:t>
      </w:r>
      <w:proofErr w:type="spellStart"/>
      <w:r w:rsidRPr="008A3FEF">
        <w:rPr>
          <w:rFonts w:asciiTheme="minorHAnsi" w:eastAsiaTheme="minorEastAsia" w:hAnsiTheme="minorHAnsi" w:cstheme="minorBidi"/>
          <w:b/>
          <w:szCs w:val="20"/>
        </w:rPr>
        <w:t>Yoo</w:t>
      </w:r>
      <w:proofErr w:type="spellEnd"/>
      <w:r w:rsidRPr="008A3FEF">
        <w:rPr>
          <w:rFonts w:asciiTheme="minorHAnsi" w:eastAsiaTheme="minorEastAsia" w:hAnsiTheme="minorHAnsi" w:cstheme="minorBidi"/>
          <w:b/>
          <w:szCs w:val="20"/>
        </w:rPr>
        <w:t xml:space="preserve"> et al. (2019). </w:t>
      </w:r>
    </w:p>
    <w:p w:rsidR="00E75F05" w:rsidRDefault="00CD6581">
      <w:pPr>
        <w:pStyle w:val="a4"/>
        <w:shd w:val="clear" w:color="auto" w:fill="FFFFFF"/>
        <w:spacing w:beforeAutospacing="0" w:after="210" w:afterAutospacing="0"/>
        <w:rPr>
          <w:rFonts w:asciiTheme="minorHAnsi" w:eastAsiaTheme="minorEastAsia" w:hAnsiTheme="minorHAnsi" w:cstheme="minorBidi"/>
          <w:b/>
          <w:szCs w:val="20"/>
          <w:lang w:val="ru-RU"/>
        </w:rPr>
      </w:pPr>
      <w:r w:rsidRPr="008A3FEF">
        <w:rPr>
          <w:rFonts w:asciiTheme="minorHAnsi" w:eastAsiaTheme="minorEastAsia" w:hAnsiTheme="minorHAnsi" w:cstheme="minorBidi"/>
          <w:b/>
          <w:szCs w:val="20"/>
        </w:rPr>
        <w:t>Match the sentence numbers to the Introduction components.</w:t>
      </w:r>
    </w:p>
    <w:tbl>
      <w:tblPr>
        <w:tblStyle w:val="a7"/>
        <w:tblW w:w="8647" w:type="dxa"/>
        <w:tblInd w:w="108" w:type="dxa"/>
        <w:tblLook w:val="04A0" w:firstRow="1" w:lastRow="0" w:firstColumn="1" w:lastColumn="0" w:noHBand="0" w:noVBand="1"/>
      </w:tblPr>
      <w:tblGrid>
        <w:gridCol w:w="5245"/>
        <w:gridCol w:w="3402"/>
      </w:tblGrid>
      <w:tr w:rsidR="008A3FEF" w:rsidRPr="00FB1FC2" w:rsidTr="00CD6581">
        <w:tc>
          <w:tcPr>
            <w:tcW w:w="5245" w:type="dxa"/>
          </w:tcPr>
          <w:p w:rsidR="008A3FEF" w:rsidRPr="008A3FEF" w:rsidRDefault="008A3FEF" w:rsidP="00283859">
            <w:pPr>
              <w:jc w:val="center"/>
              <w:rPr>
                <w:sz w:val="22"/>
              </w:rPr>
            </w:pPr>
            <w:r>
              <w:rPr>
                <w:sz w:val="22"/>
              </w:rPr>
              <w:t>Introduction components</w:t>
            </w:r>
          </w:p>
        </w:tc>
        <w:tc>
          <w:tcPr>
            <w:tcW w:w="3402" w:type="dxa"/>
          </w:tcPr>
          <w:p w:rsidR="008A3FEF" w:rsidRPr="00FB1FC2" w:rsidRDefault="008A3FEF" w:rsidP="00283859">
            <w:pPr>
              <w:jc w:val="center"/>
              <w:rPr>
                <w:sz w:val="22"/>
              </w:rPr>
            </w:pPr>
            <w:r>
              <w:rPr>
                <w:sz w:val="22"/>
              </w:rPr>
              <w:t>Sentence number</w:t>
            </w:r>
          </w:p>
        </w:tc>
      </w:tr>
      <w:tr w:rsidR="008A3FEF" w:rsidRPr="00FB1FC2" w:rsidTr="00CD6581">
        <w:tc>
          <w:tcPr>
            <w:tcW w:w="5245" w:type="dxa"/>
          </w:tcPr>
          <w:p w:rsidR="008A3FEF" w:rsidRPr="00FB1FC2" w:rsidRDefault="008A3FEF" w:rsidP="008A3FEF">
            <w:pPr>
              <w:rPr>
                <w:sz w:val="22"/>
              </w:rPr>
            </w:pPr>
            <w:r w:rsidRPr="00FB1FC2">
              <w:rPr>
                <w:sz w:val="22"/>
              </w:rPr>
              <w:t xml:space="preserve">1. </w:t>
            </w:r>
            <w:r>
              <w:rPr>
                <w:sz w:val="22"/>
              </w:rPr>
              <w:t>Establishing Importance</w:t>
            </w:r>
          </w:p>
        </w:tc>
        <w:tc>
          <w:tcPr>
            <w:tcW w:w="3402" w:type="dxa"/>
          </w:tcPr>
          <w:p w:rsidR="008A3FEF" w:rsidRDefault="00CD6581" w:rsidP="00CD6581">
            <w:pPr>
              <w:pStyle w:val="a8"/>
              <w:numPr>
                <w:ilvl w:val="0"/>
                <w:numId w:val="14"/>
              </w:numPr>
              <w:ind w:left="459" w:hanging="284"/>
              <w:rPr>
                <w:sz w:val="22"/>
              </w:rPr>
            </w:pPr>
            <w:r>
              <w:rPr>
                <w:sz w:val="22"/>
              </w:rPr>
              <w:t>1-10</w:t>
            </w:r>
          </w:p>
          <w:p w:rsidR="00CD6581" w:rsidRDefault="00CD6581" w:rsidP="00CD6581">
            <w:pPr>
              <w:pStyle w:val="a8"/>
              <w:numPr>
                <w:ilvl w:val="0"/>
                <w:numId w:val="14"/>
              </w:numPr>
              <w:ind w:left="459" w:hanging="284"/>
              <w:rPr>
                <w:sz w:val="22"/>
              </w:rPr>
            </w:pPr>
            <w:r>
              <w:rPr>
                <w:sz w:val="22"/>
              </w:rPr>
              <w:t>11-21</w:t>
            </w:r>
          </w:p>
          <w:p w:rsidR="00CD6581" w:rsidRDefault="00CD6581" w:rsidP="00CD6581">
            <w:pPr>
              <w:pStyle w:val="a8"/>
              <w:numPr>
                <w:ilvl w:val="0"/>
                <w:numId w:val="14"/>
              </w:numPr>
              <w:ind w:left="459" w:hanging="284"/>
              <w:rPr>
                <w:sz w:val="22"/>
              </w:rPr>
            </w:pPr>
            <w:r>
              <w:rPr>
                <w:sz w:val="22"/>
              </w:rPr>
              <w:t>22</w:t>
            </w:r>
          </w:p>
          <w:p w:rsidR="00CD6581" w:rsidRPr="00CD6581" w:rsidRDefault="00CD6581" w:rsidP="00CD6581">
            <w:pPr>
              <w:pStyle w:val="a8"/>
              <w:numPr>
                <w:ilvl w:val="0"/>
                <w:numId w:val="14"/>
              </w:numPr>
              <w:ind w:left="459" w:hanging="284"/>
              <w:rPr>
                <w:sz w:val="22"/>
              </w:rPr>
            </w:pPr>
            <w:r>
              <w:rPr>
                <w:sz w:val="22"/>
              </w:rPr>
              <w:t>23-25</w:t>
            </w:r>
          </w:p>
        </w:tc>
      </w:tr>
      <w:tr w:rsidR="008A3FEF" w:rsidRPr="00FB1FC2" w:rsidTr="00CD6581">
        <w:tc>
          <w:tcPr>
            <w:tcW w:w="5245" w:type="dxa"/>
          </w:tcPr>
          <w:p w:rsidR="008A3FEF" w:rsidRPr="00FB1FC2" w:rsidRDefault="008A3FEF" w:rsidP="00283859">
            <w:pPr>
              <w:rPr>
                <w:sz w:val="22"/>
              </w:rPr>
            </w:pPr>
            <w:r w:rsidRPr="00FB1FC2">
              <w:rPr>
                <w:sz w:val="22"/>
              </w:rPr>
              <w:t xml:space="preserve">2. </w:t>
            </w:r>
            <w:r>
              <w:rPr>
                <w:sz w:val="22"/>
              </w:rPr>
              <w:t>Previous and/or current research and contributions</w:t>
            </w:r>
          </w:p>
        </w:tc>
        <w:tc>
          <w:tcPr>
            <w:tcW w:w="3402" w:type="dxa"/>
          </w:tcPr>
          <w:p w:rsidR="00CD6581" w:rsidRDefault="00CD6581" w:rsidP="00CD6581">
            <w:pPr>
              <w:pStyle w:val="a8"/>
              <w:numPr>
                <w:ilvl w:val="0"/>
                <w:numId w:val="15"/>
              </w:numPr>
              <w:ind w:left="459" w:hanging="283"/>
              <w:rPr>
                <w:sz w:val="22"/>
              </w:rPr>
            </w:pPr>
            <w:r>
              <w:rPr>
                <w:sz w:val="22"/>
              </w:rPr>
              <w:t>1-10</w:t>
            </w:r>
          </w:p>
          <w:p w:rsidR="00CD6581" w:rsidRDefault="00CD6581" w:rsidP="00CD6581">
            <w:pPr>
              <w:pStyle w:val="a8"/>
              <w:numPr>
                <w:ilvl w:val="0"/>
                <w:numId w:val="15"/>
              </w:numPr>
              <w:ind w:left="459" w:hanging="283"/>
              <w:rPr>
                <w:sz w:val="22"/>
              </w:rPr>
            </w:pPr>
            <w:r>
              <w:rPr>
                <w:sz w:val="22"/>
              </w:rPr>
              <w:t>11-21</w:t>
            </w:r>
          </w:p>
          <w:p w:rsidR="00CD6581" w:rsidRDefault="00CD6581" w:rsidP="00CD6581">
            <w:pPr>
              <w:pStyle w:val="a8"/>
              <w:numPr>
                <w:ilvl w:val="0"/>
                <w:numId w:val="15"/>
              </w:numPr>
              <w:ind w:left="459" w:hanging="283"/>
              <w:rPr>
                <w:sz w:val="22"/>
              </w:rPr>
            </w:pPr>
            <w:r>
              <w:rPr>
                <w:sz w:val="22"/>
              </w:rPr>
              <w:t>22</w:t>
            </w:r>
          </w:p>
          <w:p w:rsidR="008A3FEF" w:rsidRPr="00CD6581" w:rsidRDefault="00CD6581" w:rsidP="00CD6581">
            <w:pPr>
              <w:pStyle w:val="a8"/>
              <w:numPr>
                <w:ilvl w:val="0"/>
                <w:numId w:val="15"/>
              </w:numPr>
              <w:ind w:left="459" w:hanging="283"/>
              <w:rPr>
                <w:sz w:val="22"/>
              </w:rPr>
            </w:pPr>
            <w:r w:rsidRPr="00CD6581">
              <w:rPr>
                <w:sz w:val="22"/>
              </w:rPr>
              <w:t>23-25</w:t>
            </w:r>
          </w:p>
        </w:tc>
      </w:tr>
      <w:tr w:rsidR="008A3FEF" w:rsidRPr="00FB1FC2" w:rsidTr="00CD6581">
        <w:tc>
          <w:tcPr>
            <w:tcW w:w="5245" w:type="dxa"/>
          </w:tcPr>
          <w:p w:rsidR="008A3FEF" w:rsidRPr="00FB1FC2" w:rsidRDefault="008A3FEF" w:rsidP="008A3FEF">
            <w:pPr>
              <w:rPr>
                <w:sz w:val="22"/>
              </w:rPr>
            </w:pPr>
            <w:r w:rsidRPr="00FB1FC2">
              <w:rPr>
                <w:sz w:val="22"/>
              </w:rPr>
              <w:t xml:space="preserve">3. </w:t>
            </w:r>
            <w:r>
              <w:rPr>
                <w:sz w:val="22"/>
              </w:rPr>
              <w:t>Gap/problem/question/prediction</w:t>
            </w:r>
          </w:p>
        </w:tc>
        <w:tc>
          <w:tcPr>
            <w:tcW w:w="3402" w:type="dxa"/>
          </w:tcPr>
          <w:p w:rsidR="00CD6581" w:rsidRDefault="00CD6581" w:rsidP="00CD6581">
            <w:pPr>
              <w:pStyle w:val="a8"/>
              <w:numPr>
                <w:ilvl w:val="0"/>
                <w:numId w:val="16"/>
              </w:numPr>
              <w:ind w:left="459" w:hanging="283"/>
              <w:rPr>
                <w:sz w:val="22"/>
              </w:rPr>
            </w:pPr>
            <w:r>
              <w:rPr>
                <w:sz w:val="22"/>
              </w:rPr>
              <w:t>1-10</w:t>
            </w:r>
          </w:p>
          <w:p w:rsidR="00CD6581" w:rsidRDefault="00CD6581" w:rsidP="00CD6581">
            <w:pPr>
              <w:pStyle w:val="a8"/>
              <w:numPr>
                <w:ilvl w:val="0"/>
                <w:numId w:val="16"/>
              </w:numPr>
              <w:ind w:left="459" w:hanging="283"/>
              <w:rPr>
                <w:sz w:val="22"/>
              </w:rPr>
            </w:pPr>
            <w:r>
              <w:rPr>
                <w:sz w:val="22"/>
              </w:rPr>
              <w:t>11-21</w:t>
            </w:r>
          </w:p>
          <w:p w:rsidR="00CD6581" w:rsidRDefault="00CD6581" w:rsidP="00CD6581">
            <w:pPr>
              <w:pStyle w:val="a8"/>
              <w:numPr>
                <w:ilvl w:val="0"/>
                <w:numId w:val="16"/>
              </w:numPr>
              <w:ind w:left="459" w:hanging="283"/>
              <w:rPr>
                <w:sz w:val="22"/>
              </w:rPr>
            </w:pPr>
            <w:r>
              <w:rPr>
                <w:sz w:val="22"/>
              </w:rPr>
              <w:t>22</w:t>
            </w:r>
          </w:p>
          <w:p w:rsidR="008A3FEF" w:rsidRPr="00CD6581" w:rsidRDefault="00CD6581" w:rsidP="00CD6581">
            <w:pPr>
              <w:pStyle w:val="a8"/>
              <w:numPr>
                <w:ilvl w:val="0"/>
                <w:numId w:val="16"/>
              </w:numPr>
              <w:ind w:left="459" w:hanging="283"/>
              <w:rPr>
                <w:sz w:val="22"/>
              </w:rPr>
            </w:pPr>
            <w:r w:rsidRPr="00CD6581">
              <w:rPr>
                <w:sz w:val="22"/>
              </w:rPr>
              <w:t>23-25</w:t>
            </w:r>
          </w:p>
        </w:tc>
      </w:tr>
      <w:tr w:rsidR="008A3FEF" w:rsidRPr="00FB1FC2" w:rsidTr="00CD6581">
        <w:tc>
          <w:tcPr>
            <w:tcW w:w="5245" w:type="dxa"/>
          </w:tcPr>
          <w:p w:rsidR="008A3FEF" w:rsidRPr="00FB1FC2" w:rsidRDefault="008A3FEF" w:rsidP="008A3FEF">
            <w:pPr>
              <w:rPr>
                <w:sz w:val="22"/>
              </w:rPr>
            </w:pPr>
            <w:r w:rsidRPr="00FB1FC2">
              <w:rPr>
                <w:sz w:val="22"/>
              </w:rPr>
              <w:t xml:space="preserve">4. </w:t>
            </w:r>
            <w:r>
              <w:rPr>
                <w:sz w:val="22"/>
              </w:rPr>
              <w:t>The present work</w:t>
            </w:r>
          </w:p>
        </w:tc>
        <w:tc>
          <w:tcPr>
            <w:tcW w:w="3402" w:type="dxa"/>
          </w:tcPr>
          <w:p w:rsidR="00CD6581" w:rsidRDefault="00CD6581" w:rsidP="00CD6581">
            <w:pPr>
              <w:pStyle w:val="a8"/>
              <w:numPr>
                <w:ilvl w:val="0"/>
                <w:numId w:val="17"/>
              </w:numPr>
              <w:ind w:left="459" w:hanging="283"/>
              <w:rPr>
                <w:sz w:val="22"/>
              </w:rPr>
            </w:pPr>
            <w:r>
              <w:rPr>
                <w:sz w:val="22"/>
              </w:rPr>
              <w:t>1-10</w:t>
            </w:r>
          </w:p>
          <w:p w:rsidR="00CD6581" w:rsidRDefault="00CD6581" w:rsidP="00CD6581">
            <w:pPr>
              <w:pStyle w:val="a8"/>
              <w:numPr>
                <w:ilvl w:val="0"/>
                <w:numId w:val="17"/>
              </w:numPr>
              <w:ind w:left="459" w:hanging="283"/>
              <w:rPr>
                <w:sz w:val="22"/>
              </w:rPr>
            </w:pPr>
            <w:r>
              <w:rPr>
                <w:sz w:val="22"/>
              </w:rPr>
              <w:t>11-21</w:t>
            </w:r>
          </w:p>
          <w:p w:rsidR="00CD6581" w:rsidRDefault="00CD6581" w:rsidP="00CD6581">
            <w:pPr>
              <w:pStyle w:val="a8"/>
              <w:numPr>
                <w:ilvl w:val="0"/>
                <w:numId w:val="17"/>
              </w:numPr>
              <w:ind w:left="459" w:hanging="283"/>
              <w:rPr>
                <w:sz w:val="22"/>
              </w:rPr>
            </w:pPr>
            <w:r>
              <w:rPr>
                <w:sz w:val="22"/>
              </w:rPr>
              <w:t>22</w:t>
            </w:r>
          </w:p>
          <w:p w:rsidR="008A3FEF" w:rsidRPr="00CD6581" w:rsidRDefault="00CD6581" w:rsidP="00CD6581">
            <w:pPr>
              <w:pStyle w:val="a8"/>
              <w:numPr>
                <w:ilvl w:val="0"/>
                <w:numId w:val="17"/>
              </w:numPr>
              <w:ind w:left="459" w:hanging="283"/>
              <w:rPr>
                <w:sz w:val="22"/>
              </w:rPr>
            </w:pPr>
            <w:r w:rsidRPr="00CD6581">
              <w:rPr>
                <w:sz w:val="22"/>
              </w:rPr>
              <w:t>23-25</w:t>
            </w:r>
          </w:p>
        </w:tc>
      </w:tr>
    </w:tbl>
    <w:p w:rsidR="008A3FEF" w:rsidRPr="00CD6581" w:rsidRDefault="008A3FEF" w:rsidP="008A3FEF">
      <w:pPr>
        <w:pStyle w:val="a4"/>
        <w:shd w:val="clear" w:color="auto" w:fill="FFFFFF"/>
        <w:spacing w:beforeAutospacing="0" w:after="210" w:afterAutospacing="0"/>
        <w:rPr>
          <w:rFonts w:asciiTheme="minorHAnsi" w:eastAsiaTheme="minorEastAsia" w:hAnsiTheme="minorHAnsi" w:cstheme="minorBidi"/>
          <w:sz w:val="10"/>
          <w:szCs w:val="20"/>
        </w:rPr>
      </w:pPr>
    </w:p>
    <w:p w:rsidR="00E75F05" w:rsidRPr="008A3FEF" w:rsidRDefault="00CD6581" w:rsidP="00D306C4">
      <w:pPr>
        <w:pStyle w:val="a4"/>
        <w:shd w:val="clear" w:color="auto" w:fill="FFFFFF"/>
        <w:spacing w:beforeAutospacing="0" w:after="210" w:afterAutospacing="0"/>
        <w:ind w:right="-341"/>
        <w:rPr>
          <w:rFonts w:asciiTheme="minorHAnsi" w:eastAsiaTheme="minorEastAsia" w:hAnsiTheme="minorHAnsi" w:cstheme="minorBidi"/>
          <w:szCs w:val="20"/>
        </w:rPr>
      </w:pPr>
      <w:r w:rsidRPr="008A3FEF">
        <w:rPr>
          <w:rFonts w:asciiTheme="minorHAnsi" w:eastAsiaTheme="minorEastAsia" w:hAnsiTheme="minorHAnsi" w:cstheme="minorBidi"/>
          <w:szCs w:val="20"/>
        </w:rPr>
        <w:t>Introduction</w:t>
      </w:r>
      <w:bookmarkStart w:id="0" w:name="_GoBack"/>
      <w:bookmarkEnd w:id="0"/>
    </w:p>
    <w:p w:rsidR="00E75F05" w:rsidRPr="008A3FEF" w:rsidRDefault="00CD6581" w:rsidP="00D306C4">
      <w:pPr>
        <w:pStyle w:val="a4"/>
        <w:shd w:val="clear" w:color="auto" w:fill="FFFFFF"/>
        <w:spacing w:beforeAutospacing="0" w:after="210" w:afterAutospacing="0"/>
        <w:ind w:right="-341"/>
        <w:rPr>
          <w:rFonts w:asciiTheme="minorHAnsi" w:eastAsiaTheme="minorEastAsia" w:hAnsiTheme="minorHAnsi" w:cstheme="minorBidi"/>
          <w:szCs w:val="20"/>
        </w:rPr>
      </w:pPr>
      <w:r w:rsidRPr="008A3FEF">
        <w:rPr>
          <w:rFonts w:asciiTheme="minorHAnsi" w:eastAsiaTheme="minorEastAsia" w:hAnsiTheme="minorHAnsi" w:cstheme="minorBidi"/>
          <w:b/>
          <w:szCs w:val="20"/>
          <w:highlight w:val="yellow"/>
          <w:vertAlign w:val="superscript"/>
        </w:rPr>
        <w:t>1</w:t>
      </w:r>
      <w:r w:rsidRPr="008A3FEF">
        <w:rPr>
          <w:rFonts w:asciiTheme="minorHAnsi" w:eastAsiaTheme="minorEastAsia" w:hAnsiTheme="minorHAnsi" w:cstheme="minorBidi"/>
          <w:szCs w:val="20"/>
        </w:rPr>
        <w:t>Carbonate reservoirs comprise an approximately half of global hydrocarbon reserves. </w:t>
      </w:r>
      <w:r w:rsidRPr="008A3FEF">
        <w:rPr>
          <w:rFonts w:asciiTheme="minorHAnsi" w:eastAsiaTheme="minorEastAsia" w:hAnsiTheme="minorHAnsi" w:cstheme="minorBidi"/>
          <w:b/>
          <w:szCs w:val="20"/>
          <w:highlight w:val="yellow"/>
          <w:vertAlign w:val="superscript"/>
        </w:rPr>
        <w:t>2</w:t>
      </w:r>
      <w:r w:rsidRPr="008A3FEF">
        <w:rPr>
          <w:rFonts w:asciiTheme="minorHAnsi" w:eastAsiaTheme="minorEastAsia" w:hAnsiTheme="minorHAnsi" w:cstheme="minorBidi"/>
          <w:szCs w:val="20"/>
        </w:rPr>
        <w:t>The majority of these are located in Middle East and North America. </w:t>
      </w:r>
      <w:r w:rsidRPr="008A3FEF">
        <w:rPr>
          <w:rFonts w:asciiTheme="minorHAnsi" w:eastAsiaTheme="minorEastAsia" w:hAnsiTheme="minorHAnsi" w:cstheme="minorBidi"/>
          <w:b/>
          <w:szCs w:val="20"/>
          <w:highlight w:val="yellow"/>
          <w:vertAlign w:val="superscript"/>
        </w:rPr>
        <w:t>3</w:t>
      </w:r>
      <w:r w:rsidRPr="008A3FEF">
        <w:rPr>
          <w:rFonts w:asciiTheme="minorHAnsi" w:eastAsiaTheme="minorEastAsia" w:hAnsiTheme="minorHAnsi" w:cstheme="minorBidi"/>
          <w:szCs w:val="20"/>
        </w:rPr>
        <w:t>At the end of secondary recovery, a massive amount of oil (40–60% original oil in place (OOIP)) still exists behind the reservoir due to many factors including heterogeneity of carbonate rocks (Chen et al., 2018). </w:t>
      </w:r>
      <w:r w:rsidRPr="008A3FEF">
        <w:rPr>
          <w:rFonts w:asciiTheme="minorHAnsi" w:eastAsiaTheme="minorEastAsia" w:hAnsiTheme="minorHAnsi" w:cstheme="minorBidi"/>
          <w:b/>
          <w:szCs w:val="20"/>
          <w:highlight w:val="yellow"/>
          <w:vertAlign w:val="superscript"/>
        </w:rPr>
        <w:t>4</w:t>
      </w:r>
      <w:r w:rsidRPr="008A3FEF">
        <w:rPr>
          <w:rFonts w:asciiTheme="minorHAnsi" w:eastAsiaTheme="minorEastAsia" w:hAnsiTheme="minorHAnsi" w:cstheme="minorBidi"/>
          <w:szCs w:val="20"/>
        </w:rPr>
        <w:t>Well stimulation methods can be employed to enhance well production. </w:t>
      </w:r>
      <w:r w:rsidRPr="008A3FEF">
        <w:rPr>
          <w:rFonts w:asciiTheme="minorHAnsi" w:eastAsiaTheme="minorEastAsia" w:hAnsiTheme="minorHAnsi" w:cstheme="minorBidi"/>
          <w:b/>
          <w:szCs w:val="20"/>
          <w:highlight w:val="yellow"/>
          <w:vertAlign w:val="superscript"/>
        </w:rPr>
        <w:t>5</w:t>
      </w:r>
      <w:r w:rsidRPr="008A3FEF">
        <w:rPr>
          <w:rFonts w:asciiTheme="minorHAnsi" w:eastAsiaTheme="minorEastAsia" w:hAnsiTheme="minorHAnsi" w:cstheme="minorBidi"/>
          <w:szCs w:val="20"/>
        </w:rPr>
        <w:t>Matrix acidizing is one of commonly used methods in carbonate reservoirs due to high solubility of rocks. </w:t>
      </w:r>
      <w:r w:rsidRPr="008A3FEF">
        <w:rPr>
          <w:rFonts w:asciiTheme="minorHAnsi" w:eastAsiaTheme="minorEastAsia" w:hAnsiTheme="minorHAnsi" w:cstheme="minorBidi"/>
          <w:b/>
          <w:szCs w:val="20"/>
          <w:highlight w:val="yellow"/>
          <w:vertAlign w:val="superscript"/>
        </w:rPr>
        <w:t>6</w:t>
      </w:r>
      <w:r w:rsidRPr="008A3FEF">
        <w:rPr>
          <w:rFonts w:asciiTheme="minorHAnsi" w:eastAsiaTheme="minorEastAsia" w:hAnsiTheme="minorHAnsi" w:cstheme="minorBidi"/>
          <w:szCs w:val="20"/>
        </w:rPr>
        <w:t>During matrix acidizing, an acid dissolves the carbonate rock and causes improvement of permeability near wellbore by creating wormholes that can act as high-conductivity pathways for hydrocarbon (</w:t>
      </w:r>
      <w:proofErr w:type="spellStart"/>
      <w:r w:rsidRPr="008A3FEF">
        <w:rPr>
          <w:rFonts w:asciiTheme="minorHAnsi" w:eastAsiaTheme="minorEastAsia" w:hAnsiTheme="minorHAnsi" w:cstheme="minorBidi"/>
          <w:szCs w:val="20"/>
        </w:rPr>
        <w:t>Dubetz</w:t>
      </w:r>
      <w:proofErr w:type="spellEnd"/>
      <w:r w:rsidRPr="008A3FEF">
        <w:rPr>
          <w:rFonts w:asciiTheme="minorHAnsi" w:eastAsiaTheme="minorEastAsia" w:hAnsiTheme="minorHAnsi" w:cstheme="minorBidi"/>
          <w:szCs w:val="20"/>
        </w:rPr>
        <w:t xml:space="preserve"> et al.,2016). </w:t>
      </w:r>
      <w:r w:rsidRPr="008A3FEF">
        <w:rPr>
          <w:rFonts w:asciiTheme="minorHAnsi" w:eastAsiaTheme="minorEastAsia" w:hAnsiTheme="minorHAnsi" w:cstheme="minorBidi"/>
          <w:b/>
          <w:szCs w:val="20"/>
          <w:highlight w:val="yellow"/>
          <w:vertAlign w:val="superscript"/>
        </w:rPr>
        <w:t>7</w:t>
      </w:r>
      <w:r w:rsidRPr="008A3FEF">
        <w:rPr>
          <w:rFonts w:asciiTheme="minorHAnsi" w:eastAsiaTheme="minorEastAsia" w:hAnsiTheme="minorHAnsi" w:cstheme="minorBidi"/>
          <w:szCs w:val="20"/>
        </w:rPr>
        <w:t>Because the enhanced flow of hydrocarbon occurs through the wormhole (</w:t>
      </w:r>
      <w:proofErr w:type="spellStart"/>
      <w:r w:rsidRPr="008A3FEF">
        <w:rPr>
          <w:rFonts w:asciiTheme="minorHAnsi" w:eastAsiaTheme="minorEastAsia" w:hAnsiTheme="minorHAnsi" w:cstheme="minorBidi"/>
          <w:szCs w:val="20"/>
        </w:rPr>
        <w:t>Hoefner</w:t>
      </w:r>
      <w:proofErr w:type="spellEnd"/>
      <w:r w:rsidRPr="008A3FEF">
        <w:rPr>
          <w:rFonts w:asciiTheme="minorHAnsi" w:eastAsiaTheme="minorEastAsia" w:hAnsiTheme="minorHAnsi" w:cstheme="minorBidi"/>
          <w:szCs w:val="20"/>
        </w:rPr>
        <w:t xml:space="preserve"> et al., 1987). </w:t>
      </w:r>
      <w:r w:rsidRPr="008A3FEF">
        <w:rPr>
          <w:rFonts w:asciiTheme="minorHAnsi" w:eastAsiaTheme="minorEastAsia" w:hAnsiTheme="minorHAnsi" w:cstheme="minorBidi"/>
          <w:b/>
          <w:szCs w:val="20"/>
          <w:highlight w:val="yellow"/>
          <w:vertAlign w:val="superscript"/>
        </w:rPr>
        <w:t>8</w:t>
      </w:r>
      <w:r w:rsidRPr="008A3FEF">
        <w:rPr>
          <w:rFonts w:asciiTheme="minorHAnsi" w:eastAsiaTheme="minorEastAsia" w:hAnsiTheme="minorHAnsi" w:cstheme="minorBidi"/>
          <w:szCs w:val="20"/>
        </w:rPr>
        <w:t xml:space="preserve">The structure of the wormhole can change dramatically depending on the injection rate and diffusion coefficient of acid (Economides et al., 2012). </w:t>
      </w:r>
      <w:r w:rsidRPr="008A3FEF">
        <w:rPr>
          <w:rFonts w:asciiTheme="minorHAnsi" w:eastAsiaTheme="minorEastAsia" w:hAnsiTheme="minorHAnsi" w:cstheme="minorBidi"/>
          <w:b/>
          <w:szCs w:val="20"/>
          <w:highlight w:val="yellow"/>
          <w:vertAlign w:val="superscript"/>
        </w:rPr>
        <w:t>9</w:t>
      </w:r>
      <w:r w:rsidRPr="008A3FEF">
        <w:rPr>
          <w:rFonts w:asciiTheme="minorHAnsi" w:eastAsiaTheme="minorEastAsia" w:hAnsiTheme="minorHAnsi" w:cstheme="minorBidi"/>
          <w:szCs w:val="20"/>
        </w:rPr>
        <w:t>The injection rate can be easily obtained from job execution whereas the diffusion coefficient is intrinsically an uncertain parameter of the acid and rock. </w:t>
      </w:r>
      <w:r w:rsidRPr="008A3FEF">
        <w:rPr>
          <w:rFonts w:asciiTheme="minorHAnsi" w:eastAsiaTheme="minorEastAsia" w:hAnsiTheme="minorHAnsi" w:cstheme="minorBidi"/>
          <w:b/>
          <w:szCs w:val="20"/>
          <w:highlight w:val="yellow"/>
          <w:vertAlign w:val="superscript"/>
        </w:rPr>
        <w:t>10</w:t>
      </w:r>
      <w:r w:rsidRPr="008A3FEF">
        <w:rPr>
          <w:rFonts w:asciiTheme="minorHAnsi" w:eastAsiaTheme="minorEastAsia" w:hAnsiTheme="minorHAnsi" w:cstheme="minorBidi"/>
          <w:szCs w:val="20"/>
        </w:rPr>
        <w:t>Thus, it is essential to measure the diffusion coefficient through acid-rock reaction experiment (</w:t>
      </w:r>
      <w:proofErr w:type="spellStart"/>
      <w:r w:rsidRPr="008A3FEF">
        <w:rPr>
          <w:rFonts w:asciiTheme="minorHAnsi" w:eastAsiaTheme="minorEastAsia" w:hAnsiTheme="minorHAnsi" w:cstheme="minorBidi"/>
          <w:szCs w:val="20"/>
        </w:rPr>
        <w:t>Qiu</w:t>
      </w:r>
      <w:proofErr w:type="spellEnd"/>
      <w:r w:rsidRPr="008A3FEF">
        <w:rPr>
          <w:rFonts w:asciiTheme="minorHAnsi" w:eastAsiaTheme="minorEastAsia" w:hAnsiTheme="minorHAnsi" w:cstheme="minorBidi"/>
          <w:szCs w:val="20"/>
        </w:rPr>
        <w:t xml:space="preserve"> et al., 2015; </w:t>
      </w:r>
      <w:proofErr w:type="spellStart"/>
      <w:r w:rsidRPr="008A3FEF">
        <w:rPr>
          <w:rFonts w:asciiTheme="minorHAnsi" w:eastAsiaTheme="minorEastAsia" w:hAnsiTheme="minorHAnsi" w:cstheme="minorBidi"/>
          <w:szCs w:val="20"/>
        </w:rPr>
        <w:t>Yoo</w:t>
      </w:r>
      <w:proofErr w:type="spellEnd"/>
      <w:r w:rsidRPr="008A3FEF">
        <w:rPr>
          <w:rFonts w:asciiTheme="minorHAnsi" w:eastAsiaTheme="minorEastAsia" w:hAnsiTheme="minorHAnsi" w:cstheme="minorBidi"/>
          <w:szCs w:val="20"/>
        </w:rPr>
        <w:t xml:space="preserve"> et al., 2018). </w:t>
      </w:r>
      <w:r w:rsidRPr="008A3FEF">
        <w:rPr>
          <w:rFonts w:asciiTheme="minorHAnsi" w:eastAsiaTheme="minorEastAsia" w:hAnsiTheme="minorHAnsi" w:cstheme="minorBidi"/>
          <w:b/>
          <w:szCs w:val="20"/>
          <w:highlight w:val="yellow"/>
          <w:vertAlign w:val="superscript"/>
        </w:rPr>
        <w:t>11</w:t>
      </w:r>
      <w:r w:rsidRPr="008A3FEF">
        <w:rPr>
          <w:rFonts w:asciiTheme="minorHAnsi" w:eastAsiaTheme="minorEastAsia" w:hAnsiTheme="minorHAnsi" w:cstheme="minorBidi"/>
          <w:szCs w:val="20"/>
        </w:rPr>
        <w:t xml:space="preserve">The various research to analyze acid-rock reaction kinetics and diffusion coefficients has been conducted to accomplish successful matrix acidizing (Lund et al., 1973; Lund et al., 1975; </w:t>
      </w:r>
      <w:proofErr w:type="spellStart"/>
      <w:r w:rsidRPr="008A3FEF">
        <w:rPr>
          <w:rFonts w:asciiTheme="minorHAnsi" w:eastAsiaTheme="minorEastAsia" w:hAnsiTheme="minorHAnsi" w:cstheme="minorBidi"/>
          <w:szCs w:val="20"/>
        </w:rPr>
        <w:t>Busenberg</w:t>
      </w:r>
      <w:proofErr w:type="spellEnd"/>
      <w:r w:rsidRPr="008A3FEF">
        <w:rPr>
          <w:rFonts w:asciiTheme="minorHAnsi" w:eastAsiaTheme="minorEastAsia" w:hAnsiTheme="minorHAnsi" w:cstheme="minorBidi"/>
          <w:szCs w:val="20"/>
        </w:rPr>
        <w:t xml:space="preserve"> and Plummer, 1982; Anderson, 1991; </w:t>
      </w:r>
      <w:proofErr w:type="spellStart"/>
      <w:r w:rsidRPr="008A3FEF">
        <w:rPr>
          <w:rFonts w:asciiTheme="minorHAnsi" w:eastAsiaTheme="minorEastAsia" w:hAnsiTheme="minorHAnsi" w:cstheme="minorBidi"/>
          <w:szCs w:val="20"/>
        </w:rPr>
        <w:t>Fredd</w:t>
      </w:r>
      <w:proofErr w:type="spellEnd"/>
      <w:r w:rsidRPr="008A3FEF">
        <w:rPr>
          <w:rFonts w:asciiTheme="minorHAnsi" w:eastAsiaTheme="minorEastAsia" w:hAnsiTheme="minorHAnsi" w:cstheme="minorBidi"/>
          <w:szCs w:val="20"/>
        </w:rPr>
        <w:t xml:space="preserve"> and </w:t>
      </w:r>
      <w:proofErr w:type="spellStart"/>
      <w:r w:rsidRPr="008A3FEF">
        <w:rPr>
          <w:rFonts w:asciiTheme="minorHAnsi" w:eastAsiaTheme="minorEastAsia" w:hAnsiTheme="minorHAnsi" w:cstheme="minorBidi"/>
          <w:szCs w:val="20"/>
        </w:rPr>
        <w:t>Fogler</w:t>
      </w:r>
      <w:proofErr w:type="spellEnd"/>
      <w:r w:rsidRPr="008A3FEF">
        <w:rPr>
          <w:rFonts w:asciiTheme="minorHAnsi" w:eastAsiaTheme="minorEastAsia" w:hAnsiTheme="minorHAnsi" w:cstheme="minorBidi"/>
          <w:szCs w:val="20"/>
        </w:rPr>
        <w:t>, 1998; Taylor and Nasr-El-Din, 2004; Taylor et al., 2006).</w:t>
      </w:r>
    </w:p>
    <w:p w:rsidR="00E75F05" w:rsidRPr="008A3FEF" w:rsidRDefault="00CD6581" w:rsidP="00D306C4">
      <w:pPr>
        <w:pStyle w:val="a4"/>
        <w:shd w:val="clear" w:color="auto" w:fill="FFFFFF"/>
        <w:spacing w:beforeAutospacing="0" w:after="210" w:afterAutospacing="0"/>
        <w:ind w:right="-341"/>
        <w:rPr>
          <w:rFonts w:asciiTheme="minorHAnsi" w:eastAsiaTheme="minorEastAsia" w:hAnsiTheme="minorHAnsi" w:cstheme="minorBidi"/>
          <w:szCs w:val="20"/>
        </w:rPr>
      </w:pPr>
      <w:r w:rsidRPr="00CD6581">
        <w:rPr>
          <w:rFonts w:asciiTheme="minorHAnsi" w:eastAsiaTheme="minorEastAsia" w:hAnsiTheme="minorHAnsi" w:cstheme="minorBidi"/>
          <w:b/>
          <w:szCs w:val="20"/>
          <w:highlight w:val="yellow"/>
          <w:vertAlign w:val="superscript"/>
        </w:rPr>
        <w:t>12</w:t>
      </w:r>
      <w:r w:rsidRPr="008A3FEF">
        <w:rPr>
          <w:rFonts w:asciiTheme="minorHAnsi" w:eastAsiaTheme="minorEastAsia" w:hAnsiTheme="minorHAnsi" w:cstheme="minorBidi"/>
          <w:szCs w:val="20"/>
        </w:rPr>
        <w:t xml:space="preserve">The spending rate and diffusion coefficient of the acid in carbonate acidizing are dependent on many factors including pressure, temperature, acid type and </w:t>
      </w:r>
      <w:r w:rsidRPr="008A3FEF">
        <w:rPr>
          <w:rFonts w:asciiTheme="minorHAnsi" w:eastAsiaTheme="minorEastAsia" w:hAnsiTheme="minorHAnsi" w:cstheme="minorBidi"/>
          <w:szCs w:val="20"/>
        </w:rPr>
        <w:lastRenderedPageBreak/>
        <w:t>concentration, formation composition (chemical and physical), and so on. </w:t>
      </w:r>
      <w:r w:rsidRPr="00CD6581">
        <w:rPr>
          <w:rFonts w:asciiTheme="minorHAnsi" w:eastAsiaTheme="minorEastAsia" w:hAnsiTheme="minorHAnsi" w:cstheme="minorBidi"/>
          <w:b/>
          <w:szCs w:val="20"/>
          <w:highlight w:val="yellow"/>
          <w:vertAlign w:val="superscript"/>
        </w:rPr>
        <w:t>13</w:t>
      </w:r>
      <w:r w:rsidRPr="008A3FEF">
        <w:rPr>
          <w:rFonts w:asciiTheme="minorHAnsi" w:eastAsiaTheme="minorEastAsia" w:hAnsiTheme="minorHAnsi" w:cstheme="minorBidi"/>
          <w:szCs w:val="20"/>
        </w:rPr>
        <w:t>Among these factors, heterogeneity of chemical and rock physical properties can promote a selective acid reaction in rock formation. </w:t>
      </w:r>
      <w:r w:rsidRPr="00CD6581">
        <w:rPr>
          <w:rFonts w:asciiTheme="minorHAnsi" w:eastAsiaTheme="minorEastAsia" w:hAnsiTheme="minorHAnsi" w:cstheme="minorBidi"/>
          <w:b/>
          <w:szCs w:val="20"/>
          <w:highlight w:val="yellow"/>
          <w:vertAlign w:val="superscript"/>
        </w:rPr>
        <w:t>14</w:t>
      </w:r>
      <w:r w:rsidRPr="008A3FEF">
        <w:rPr>
          <w:rFonts w:asciiTheme="minorHAnsi" w:eastAsiaTheme="minorEastAsia" w:hAnsiTheme="minorHAnsi" w:cstheme="minorBidi"/>
          <w:szCs w:val="20"/>
        </w:rPr>
        <w:t>Especially, pore size distribution and pore shapes can contribute to decisive differences in acid-rock reactions (</w:t>
      </w:r>
      <w:proofErr w:type="spellStart"/>
      <w:r w:rsidRPr="008A3FEF">
        <w:rPr>
          <w:rFonts w:asciiTheme="minorHAnsi" w:eastAsiaTheme="minorEastAsia" w:hAnsiTheme="minorHAnsi" w:cstheme="minorBidi"/>
          <w:szCs w:val="20"/>
        </w:rPr>
        <w:t>Chilingarian</w:t>
      </w:r>
      <w:proofErr w:type="spellEnd"/>
      <w:r w:rsidRPr="008A3FEF">
        <w:rPr>
          <w:rFonts w:asciiTheme="minorHAnsi" w:eastAsiaTheme="minorEastAsia" w:hAnsiTheme="minorHAnsi" w:cstheme="minorBidi"/>
          <w:szCs w:val="20"/>
        </w:rPr>
        <w:t xml:space="preserve"> et al., 1992). </w:t>
      </w:r>
      <w:r w:rsidRPr="00CD6581">
        <w:rPr>
          <w:rFonts w:asciiTheme="minorHAnsi" w:eastAsiaTheme="minorEastAsia" w:hAnsiTheme="minorHAnsi" w:cstheme="minorBidi"/>
          <w:b/>
          <w:szCs w:val="20"/>
          <w:highlight w:val="yellow"/>
          <w:vertAlign w:val="superscript"/>
        </w:rPr>
        <w:t>15</w:t>
      </w:r>
      <w:r w:rsidRPr="008A3FEF">
        <w:rPr>
          <w:rFonts w:asciiTheme="minorHAnsi" w:eastAsiaTheme="minorEastAsia" w:hAnsiTheme="minorHAnsi" w:cstheme="minorBidi"/>
          <w:szCs w:val="20"/>
        </w:rPr>
        <w:t>Despite the importance of pore size distribution, only a few studies have been conducted about the effect of pore size distribution on matrix acidizing.</w:t>
      </w:r>
    </w:p>
    <w:p w:rsidR="00E75F05" w:rsidRPr="008A3FEF" w:rsidRDefault="00CD6581" w:rsidP="00D306C4">
      <w:pPr>
        <w:pStyle w:val="a4"/>
        <w:shd w:val="clear" w:color="auto" w:fill="FFFFFF"/>
        <w:spacing w:beforeAutospacing="0" w:after="210" w:afterAutospacing="0"/>
        <w:ind w:right="-341"/>
        <w:rPr>
          <w:rFonts w:asciiTheme="minorHAnsi" w:eastAsiaTheme="minorEastAsia" w:hAnsiTheme="minorHAnsi" w:cstheme="minorBidi"/>
          <w:szCs w:val="20"/>
        </w:rPr>
      </w:pPr>
      <w:r w:rsidRPr="00CD6581">
        <w:rPr>
          <w:rFonts w:asciiTheme="minorHAnsi" w:eastAsiaTheme="minorEastAsia" w:hAnsiTheme="minorHAnsi" w:cstheme="minorBidi"/>
          <w:b/>
          <w:szCs w:val="20"/>
          <w:highlight w:val="yellow"/>
          <w:vertAlign w:val="superscript"/>
        </w:rPr>
        <w:t>16</w:t>
      </w:r>
      <w:r w:rsidRPr="008A3FEF">
        <w:rPr>
          <w:rFonts w:asciiTheme="minorHAnsi" w:eastAsiaTheme="minorEastAsia" w:hAnsiTheme="minorHAnsi" w:cstheme="minorBidi"/>
          <w:szCs w:val="20"/>
        </w:rPr>
        <w:t>Dubetz et al. (2016) have characterized pore size distribution of different carbonate rocks using micro-CT (</w:t>
      </w:r>
      <w:proofErr w:type="spellStart"/>
      <w:r w:rsidRPr="008A3FEF">
        <w:rPr>
          <w:rFonts w:asciiTheme="minorHAnsi" w:eastAsiaTheme="minorEastAsia" w:hAnsiTheme="minorHAnsi" w:cstheme="minorBidi"/>
          <w:szCs w:val="20"/>
        </w:rPr>
        <w:t>computer</w:t>
      </w:r>
      <w:proofErr w:type="spellEnd"/>
      <w:r w:rsidRPr="008A3FEF">
        <w:rPr>
          <w:rFonts w:asciiTheme="minorHAnsi" w:eastAsiaTheme="minorEastAsia" w:hAnsiTheme="minorHAnsi" w:cstheme="minorBidi"/>
          <w:szCs w:val="20"/>
        </w:rPr>
        <w:t xml:space="preserve"> tomography) and analyzed the impact of pore size distribution on pore volume to breakthrough (PVBT) and optimum interstitial velocity. </w:t>
      </w:r>
      <w:r w:rsidRPr="00CD6581">
        <w:rPr>
          <w:rFonts w:asciiTheme="minorHAnsi" w:eastAsiaTheme="minorEastAsia" w:hAnsiTheme="minorHAnsi" w:cstheme="minorBidi"/>
          <w:b/>
          <w:szCs w:val="20"/>
          <w:highlight w:val="yellow"/>
          <w:vertAlign w:val="superscript"/>
        </w:rPr>
        <w:t>17</w:t>
      </w:r>
      <w:r w:rsidRPr="008A3FEF">
        <w:rPr>
          <w:rFonts w:asciiTheme="minorHAnsi" w:eastAsiaTheme="minorEastAsia" w:hAnsiTheme="minorHAnsi" w:cstheme="minorBidi"/>
          <w:szCs w:val="20"/>
        </w:rPr>
        <w:t>They found that pore size distribution showed a better correlation with PVBT and optimum interstitial velocity than porosity or permeability alone. </w:t>
      </w:r>
      <w:r w:rsidRPr="00CD6581">
        <w:rPr>
          <w:rFonts w:asciiTheme="minorHAnsi" w:eastAsiaTheme="minorEastAsia" w:hAnsiTheme="minorHAnsi" w:cstheme="minorBidi"/>
          <w:b/>
          <w:szCs w:val="20"/>
          <w:highlight w:val="yellow"/>
          <w:vertAlign w:val="superscript"/>
        </w:rPr>
        <w:t>18</w:t>
      </w:r>
      <w:r w:rsidRPr="008A3FEF">
        <w:rPr>
          <w:rFonts w:asciiTheme="minorHAnsi" w:eastAsiaTheme="minorEastAsia" w:hAnsiTheme="minorHAnsi" w:cstheme="minorBidi"/>
          <w:szCs w:val="20"/>
        </w:rPr>
        <w:t>However, the correlation between pore size distribution and diffusion coefficient has not been reported yet. </w:t>
      </w:r>
      <w:r w:rsidRPr="00CD6581">
        <w:rPr>
          <w:rFonts w:asciiTheme="minorHAnsi" w:eastAsiaTheme="minorEastAsia" w:hAnsiTheme="minorHAnsi" w:cstheme="minorBidi"/>
          <w:b/>
          <w:szCs w:val="20"/>
          <w:highlight w:val="yellow"/>
          <w:vertAlign w:val="superscript"/>
        </w:rPr>
        <w:t>19</w:t>
      </w:r>
      <w:r w:rsidRPr="008A3FEF">
        <w:rPr>
          <w:rFonts w:asciiTheme="minorHAnsi" w:eastAsiaTheme="minorEastAsia" w:hAnsiTheme="minorHAnsi" w:cstheme="minorBidi"/>
          <w:szCs w:val="20"/>
        </w:rPr>
        <w:t>Dong et al. (2017) suggested a new model to calculate PVBT and optimum interstitial velocity using the mode size pore, which was the largest frequency in a pore size distribution, as the optimal conditions. </w:t>
      </w:r>
      <w:r w:rsidRPr="00CD6581">
        <w:rPr>
          <w:rFonts w:asciiTheme="minorHAnsi" w:eastAsiaTheme="minorEastAsia" w:hAnsiTheme="minorHAnsi" w:cstheme="minorBidi"/>
          <w:b/>
          <w:szCs w:val="20"/>
          <w:highlight w:val="yellow"/>
          <w:vertAlign w:val="superscript"/>
        </w:rPr>
        <w:t>20</w:t>
      </w:r>
      <w:r w:rsidRPr="008A3FEF">
        <w:rPr>
          <w:rFonts w:asciiTheme="minorHAnsi" w:eastAsiaTheme="minorEastAsia" w:hAnsiTheme="minorHAnsi" w:cstheme="minorBidi"/>
          <w:szCs w:val="20"/>
        </w:rPr>
        <w:t>They assumed that larger amounts of acids would flow into the mode size pores at any particular time and position because the mode size pores were more than any other size of pores. </w:t>
      </w:r>
      <w:r w:rsidRPr="00CD6581">
        <w:rPr>
          <w:rFonts w:asciiTheme="minorHAnsi" w:eastAsiaTheme="minorEastAsia" w:hAnsiTheme="minorHAnsi" w:cstheme="minorBidi"/>
          <w:b/>
          <w:szCs w:val="20"/>
          <w:highlight w:val="yellow"/>
          <w:vertAlign w:val="superscript"/>
        </w:rPr>
        <w:t>21</w:t>
      </w:r>
      <w:r w:rsidRPr="008A3FEF">
        <w:rPr>
          <w:rFonts w:asciiTheme="minorHAnsi" w:eastAsiaTheme="minorEastAsia" w:hAnsiTheme="minorHAnsi" w:cstheme="minorBidi"/>
          <w:szCs w:val="20"/>
        </w:rPr>
        <w:t>However, this assumption was proven only using the mode size without other pore sizes, and the diffusion coefficient of carbonate was assumed to be a single value to apply to the new model.</w:t>
      </w:r>
    </w:p>
    <w:p w:rsidR="00E75F05" w:rsidRPr="008A3FEF" w:rsidRDefault="00CD6581" w:rsidP="00D306C4">
      <w:pPr>
        <w:pStyle w:val="a4"/>
        <w:shd w:val="clear" w:color="auto" w:fill="FFFFFF"/>
        <w:spacing w:beforeAutospacing="0" w:after="210" w:afterAutospacing="0"/>
        <w:ind w:right="-341"/>
        <w:rPr>
          <w:rFonts w:asciiTheme="minorHAnsi" w:eastAsiaTheme="minorEastAsia" w:hAnsiTheme="minorHAnsi" w:cstheme="minorBidi"/>
          <w:szCs w:val="20"/>
        </w:rPr>
      </w:pPr>
      <w:r w:rsidRPr="00CD6581">
        <w:rPr>
          <w:rFonts w:asciiTheme="minorHAnsi" w:eastAsiaTheme="minorEastAsia" w:hAnsiTheme="minorHAnsi" w:cstheme="minorBidi"/>
          <w:b/>
          <w:szCs w:val="20"/>
          <w:highlight w:val="yellow"/>
          <w:vertAlign w:val="superscript"/>
        </w:rPr>
        <w:t>22</w:t>
      </w:r>
      <w:r w:rsidRPr="008A3FEF">
        <w:rPr>
          <w:rFonts w:asciiTheme="minorHAnsi" w:eastAsiaTheme="minorEastAsia" w:hAnsiTheme="minorHAnsi" w:cstheme="minorBidi"/>
          <w:szCs w:val="20"/>
        </w:rPr>
        <w:t>The diffusion coefficient and pore size distribution are significantly important in acid-rock reaction during carbonate acidizing, but the studies regarding effects of pore size distribution on the diffusion coefficient are scanty requiring more vigorous investigations, which provided primary impetus to the current work. </w:t>
      </w:r>
      <w:r w:rsidRPr="00CD6581">
        <w:rPr>
          <w:rFonts w:asciiTheme="minorHAnsi" w:eastAsiaTheme="minorEastAsia" w:hAnsiTheme="minorHAnsi" w:cstheme="minorBidi"/>
          <w:b/>
          <w:szCs w:val="20"/>
          <w:highlight w:val="yellow"/>
          <w:vertAlign w:val="superscript"/>
        </w:rPr>
        <w:t>23</w:t>
      </w:r>
      <w:r w:rsidRPr="008A3FEF">
        <w:rPr>
          <w:rFonts w:asciiTheme="minorHAnsi" w:eastAsiaTheme="minorEastAsia" w:hAnsiTheme="minorHAnsi" w:cstheme="minorBidi"/>
          <w:szCs w:val="20"/>
        </w:rPr>
        <w:t>In this study, the pore size distributions of four limestone samples are characterized, and acid rock reaction experiments are carried out using rotating disk apparatus (RDA) to derive the diffusion coefficients of rock samples. </w:t>
      </w:r>
      <w:r w:rsidRPr="00CD6581">
        <w:rPr>
          <w:rFonts w:asciiTheme="minorHAnsi" w:eastAsiaTheme="minorEastAsia" w:hAnsiTheme="minorHAnsi" w:cstheme="minorBidi"/>
          <w:b/>
          <w:szCs w:val="20"/>
          <w:highlight w:val="yellow"/>
          <w:vertAlign w:val="superscript"/>
        </w:rPr>
        <w:t>24</w:t>
      </w:r>
      <w:r w:rsidRPr="008A3FEF">
        <w:rPr>
          <w:rFonts w:asciiTheme="minorHAnsi" w:eastAsiaTheme="minorEastAsia" w:hAnsiTheme="minorHAnsi" w:cstheme="minorBidi"/>
          <w:szCs w:val="20"/>
        </w:rPr>
        <w:t>Based on the experimental results, correlation analyses are performed to ascertain the effect of pore size distribution on diffusion coefficient in acid-rock reaction. </w:t>
      </w:r>
      <w:r w:rsidRPr="00CD6581">
        <w:rPr>
          <w:rFonts w:asciiTheme="minorHAnsi" w:eastAsiaTheme="minorEastAsia" w:hAnsiTheme="minorHAnsi" w:cstheme="minorBidi"/>
          <w:b/>
          <w:szCs w:val="20"/>
          <w:highlight w:val="yellow"/>
          <w:vertAlign w:val="superscript"/>
        </w:rPr>
        <w:t>25</w:t>
      </w:r>
      <w:r w:rsidRPr="008A3FEF">
        <w:rPr>
          <w:rFonts w:asciiTheme="minorHAnsi" w:eastAsiaTheme="minorEastAsia" w:hAnsiTheme="minorHAnsi" w:cstheme="minorBidi"/>
          <w:szCs w:val="20"/>
        </w:rPr>
        <w:t>Furthermore, optimum injection rates are individually derived with four samples to investigate the influence of pore size distribution on matrix acidizing.</w:t>
      </w:r>
    </w:p>
    <w:p w:rsidR="00E75F05" w:rsidRPr="00CD6581" w:rsidRDefault="00CD6581" w:rsidP="00D306C4">
      <w:pPr>
        <w:pStyle w:val="a4"/>
        <w:shd w:val="clear" w:color="auto" w:fill="FFFFFF"/>
        <w:spacing w:beforeAutospacing="0" w:after="210" w:afterAutospacing="0"/>
        <w:ind w:right="-341"/>
        <w:rPr>
          <w:rFonts w:asciiTheme="minorHAnsi" w:eastAsiaTheme="minorEastAsia" w:hAnsiTheme="minorHAnsi" w:cstheme="minorBidi"/>
          <w:i/>
          <w:sz w:val="22"/>
          <w:szCs w:val="20"/>
        </w:rPr>
      </w:pPr>
      <w:r w:rsidRPr="00CD6581">
        <w:rPr>
          <w:rFonts w:asciiTheme="minorHAnsi" w:eastAsiaTheme="minorEastAsia" w:hAnsiTheme="minorHAnsi" w:cstheme="minorBidi"/>
          <w:i/>
          <w:sz w:val="22"/>
          <w:szCs w:val="20"/>
        </w:rPr>
        <w:t xml:space="preserve">Reference: </w:t>
      </w:r>
      <w:proofErr w:type="spellStart"/>
      <w:r w:rsidRPr="00CD6581">
        <w:rPr>
          <w:rFonts w:asciiTheme="minorHAnsi" w:eastAsiaTheme="minorEastAsia" w:hAnsiTheme="minorHAnsi" w:cstheme="minorBidi"/>
          <w:i/>
          <w:sz w:val="22"/>
          <w:szCs w:val="20"/>
        </w:rPr>
        <w:t>Yoo</w:t>
      </w:r>
      <w:proofErr w:type="spellEnd"/>
      <w:r w:rsidRPr="00CD6581">
        <w:rPr>
          <w:rFonts w:asciiTheme="minorHAnsi" w:eastAsiaTheme="minorEastAsia" w:hAnsiTheme="minorHAnsi" w:cstheme="minorBidi"/>
          <w:i/>
          <w:sz w:val="22"/>
          <w:szCs w:val="20"/>
        </w:rPr>
        <w:t xml:space="preserve">, H., Park, J., Lee, Y., Lee, J. (2019). </w:t>
      </w:r>
      <w:proofErr w:type="gramStart"/>
      <w:r w:rsidRPr="00CD6581">
        <w:rPr>
          <w:rFonts w:asciiTheme="minorHAnsi" w:eastAsiaTheme="minorEastAsia" w:hAnsiTheme="minorHAnsi" w:cstheme="minorBidi"/>
          <w:i/>
          <w:sz w:val="22"/>
          <w:szCs w:val="20"/>
        </w:rPr>
        <w:t>An experimental investigation into the effect of pore size distribution on the acid-rock reaction in carbonate acidizing.</w:t>
      </w:r>
      <w:proofErr w:type="gramEnd"/>
    </w:p>
    <w:p w:rsidR="00E75F05" w:rsidRPr="00CD6581" w:rsidRDefault="00CD6581" w:rsidP="00D306C4">
      <w:pPr>
        <w:pStyle w:val="a4"/>
        <w:shd w:val="clear" w:color="auto" w:fill="FFFFFF"/>
        <w:spacing w:beforeAutospacing="0" w:after="210" w:afterAutospacing="0"/>
        <w:ind w:right="-341"/>
        <w:rPr>
          <w:rFonts w:asciiTheme="minorHAnsi" w:eastAsiaTheme="minorEastAsia" w:hAnsiTheme="minorHAnsi" w:cstheme="minorBidi"/>
          <w:i/>
          <w:sz w:val="22"/>
          <w:szCs w:val="20"/>
        </w:rPr>
      </w:pPr>
      <w:r w:rsidRPr="00CD6581">
        <w:rPr>
          <w:rFonts w:asciiTheme="minorHAnsi" w:eastAsiaTheme="minorEastAsia" w:hAnsiTheme="minorHAnsi" w:cstheme="minorBidi"/>
          <w:i/>
          <w:sz w:val="22"/>
          <w:szCs w:val="20"/>
        </w:rPr>
        <w:t xml:space="preserve">DOI: </w:t>
      </w:r>
      <w:hyperlink r:id="rId6" w:history="1">
        <w:r w:rsidRPr="00CD6581">
          <w:rPr>
            <w:rFonts w:asciiTheme="minorHAnsi" w:eastAsiaTheme="minorEastAsia" w:hAnsiTheme="minorHAnsi" w:cstheme="minorBidi"/>
            <w:i/>
            <w:sz w:val="22"/>
            <w:szCs w:val="20"/>
          </w:rPr>
          <w:t>https://doi.org/10.1016/j.petrol.2019.05.061</w:t>
        </w:r>
      </w:hyperlink>
    </w:p>
    <w:p w:rsidR="00E75F05" w:rsidRDefault="00E75F05"/>
    <w:p w:rsidR="00E75F05" w:rsidRPr="00D306C4" w:rsidRDefault="00E75F05"/>
    <w:sectPr w:rsidR="00E75F05" w:rsidRPr="00D306C4">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35093"/>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
    <w:nsid w:val="059A2475"/>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5C3E966"/>
    <w:multiLevelType w:val="singleLevel"/>
    <w:tmpl w:val="05C3E966"/>
    <w:lvl w:ilvl="0">
      <w:start w:val="1"/>
      <w:numFmt w:val="bullet"/>
      <w:lvlText w:val=""/>
      <w:lvlJc w:val="left"/>
      <w:pPr>
        <w:tabs>
          <w:tab w:val="left" w:pos="420"/>
        </w:tabs>
        <w:ind w:left="420" w:hanging="420"/>
      </w:pPr>
      <w:rPr>
        <w:rFonts w:ascii="Wingdings" w:hAnsi="Wingdings" w:hint="default"/>
      </w:rPr>
    </w:lvl>
  </w:abstractNum>
  <w:abstractNum w:abstractNumId="3">
    <w:nsid w:val="082E708F"/>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nsid w:val="0D187C62"/>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11BB6093"/>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19643E5F"/>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7">
    <w:nsid w:val="21A03AB2"/>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8">
    <w:nsid w:val="358332E9"/>
    <w:multiLevelType w:val="hybridMultilevel"/>
    <w:tmpl w:val="8580F95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48872F7E"/>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nsid w:val="590F4DD6"/>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nsid w:val="67FC0880"/>
    <w:multiLevelType w:val="hybridMultilevel"/>
    <w:tmpl w:val="8580F95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nsid w:val="6FB66D14"/>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3">
    <w:nsid w:val="6FD16CCE"/>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nsid w:val="71F22844"/>
    <w:multiLevelType w:val="hybridMultilevel"/>
    <w:tmpl w:val="8580F95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5">
    <w:nsid w:val="7B222AFD"/>
    <w:multiLevelType w:val="hybridMultilevel"/>
    <w:tmpl w:val="073C0906"/>
    <w:lvl w:ilvl="0" w:tplc="04190015">
      <w:start w:val="1"/>
      <w:numFmt w:val="upperLetter"/>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6">
    <w:nsid w:val="7C9C3371"/>
    <w:multiLevelType w:val="hybridMultilevel"/>
    <w:tmpl w:val="8580F95A"/>
    <w:lvl w:ilvl="0" w:tplc="04190015">
      <w:start w:val="1"/>
      <w:numFmt w:val="upperLetter"/>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6"/>
  </w:num>
  <w:num w:numId="3">
    <w:abstractNumId w:val="5"/>
  </w:num>
  <w:num w:numId="4">
    <w:abstractNumId w:val="9"/>
  </w:num>
  <w:num w:numId="5">
    <w:abstractNumId w:val="7"/>
  </w:num>
  <w:num w:numId="6">
    <w:abstractNumId w:val="0"/>
  </w:num>
  <w:num w:numId="7">
    <w:abstractNumId w:val="3"/>
  </w:num>
  <w:num w:numId="8">
    <w:abstractNumId w:val="1"/>
  </w:num>
  <w:num w:numId="9">
    <w:abstractNumId w:val="12"/>
  </w:num>
  <w:num w:numId="10">
    <w:abstractNumId w:val="13"/>
  </w:num>
  <w:num w:numId="11">
    <w:abstractNumId w:val="10"/>
  </w:num>
  <w:num w:numId="12">
    <w:abstractNumId w:val="15"/>
  </w:num>
  <w:num w:numId="13">
    <w:abstractNumId w:val="4"/>
  </w:num>
  <w:num w:numId="14">
    <w:abstractNumId w:val="11"/>
  </w:num>
  <w:num w:numId="15">
    <w:abstractNumId w:val="16"/>
  </w:num>
  <w:num w:numId="16">
    <w:abstractNumId w:val="1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rawingGridVerticalSpacing w:val="156"/>
  <w:noPunctuationKerning/>
  <w:characterSpacingControl w:val="doNotCompress"/>
  <w:compat>
    <w:spaceForUL/>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5F05"/>
    <w:rsid w:val="008A3FEF"/>
    <w:rsid w:val="00CD6581"/>
    <w:rsid w:val="00D306C4"/>
    <w:rsid w:val="00E75F05"/>
    <w:rsid w:val="0EB8644F"/>
    <w:rsid w:val="29EB30A9"/>
    <w:rsid w:val="36577025"/>
    <w:rsid w:val="6AF706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Theme="minorHAnsi" w:eastAsiaTheme="minorEastAsia" w:hAnsiTheme="minorHAnsi" w:cstheme="minorBidi"/>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paragraph" w:styleId="a4">
    <w:name w:val="Normal (Web)"/>
    <w:pPr>
      <w:spacing w:beforeAutospacing="1" w:afterAutospacing="1"/>
    </w:pPr>
    <w:rPr>
      <w:sz w:val="24"/>
      <w:szCs w:val="24"/>
      <w:lang w:val="en-US" w:eastAsia="zh-CN"/>
    </w:rPr>
  </w:style>
  <w:style w:type="paragraph" w:styleId="a5">
    <w:name w:val="Balloon Text"/>
    <w:basedOn w:val="a"/>
    <w:link w:val="a6"/>
    <w:rsid w:val="008A3FEF"/>
    <w:rPr>
      <w:rFonts w:ascii="Tahoma" w:hAnsi="Tahoma" w:cs="Tahoma"/>
      <w:sz w:val="16"/>
      <w:szCs w:val="16"/>
    </w:rPr>
  </w:style>
  <w:style w:type="character" w:customStyle="1" w:styleId="a6">
    <w:name w:val="Текст выноски Знак"/>
    <w:basedOn w:val="a0"/>
    <w:link w:val="a5"/>
    <w:rsid w:val="008A3FEF"/>
    <w:rPr>
      <w:rFonts w:ascii="Tahoma" w:eastAsiaTheme="minorEastAsia" w:hAnsi="Tahoma" w:cs="Tahoma"/>
      <w:sz w:val="16"/>
      <w:szCs w:val="16"/>
      <w:lang w:val="en-US" w:eastAsia="zh-CN"/>
    </w:rPr>
  </w:style>
  <w:style w:type="table" w:styleId="a7">
    <w:name w:val="Table Grid"/>
    <w:basedOn w:val="a1"/>
    <w:rsid w:val="008A3F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99"/>
    <w:unhideWhenUsed/>
    <w:rsid w:val="00CD658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semiHidden="1" w:uiPriority="99" w:unhideWhenUsed="1"/>
    <w:lsdException w:name="Light List" w:semiHidden="1" w:uiPriority="99" w:unhideWhenUsed="1"/>
    <w:lsdException w:name="Light Grid" w:semiHidden="1" w:uiPriority="99" w:unhideWhenUsed="1"/>
    <w:lsdException w:name="Medium Shading 1" w:semiHidden="1" w:uiPriority="99" w:unhideWhenUsed="1"/>
    <w:lsdException w:name="Medium Shading 2" w:semiHidden="1" w:uiPriority="99" w:unhideWhenUsed="1"/>
    <w:lsdException w:name="Medium List 1" w:semiHidden="1" w:uiPriority="99" w:unhideWhenUsed="1"/>
    <w:lsdException w:name="Medium List 2" w:semiHidden="1" w:uiPriority="99" w:unhideWhenUsed="1"/>
    <w:lsdException w:name="Medium Grid 1" w:semiHidden="1" w:uiPriority="99" w:unhideWhenUsed="1"/>
    <w:lsdException w:name="Medium Grid 2" w:semiHidden="1" w:uiPriority="99" w:unhideWhenUsed="1"/>
    <w:lsdException w:name="Medium Grid 3" w:semiHidden="1" w:uiPriority="99" w:unhideWhenUsed="1"/>
    <w:lsdException w:name="Dark List" w:semiHidden="1" w:uiPriority="99" w:unhideWhenUsed="1"/>
    <w:lsdException w:name="Colorful Shading" w:semiHidden="1" w:uiPriority="99" w:unhideWhenUsed="1"/>
    <w:lsdException w:name="Colorful List" w:semiHidden="1" w:uiPriority="99" w:unhideWhenUsed="1"/>
    <w:lsdException w:name="Colorful Grid" w:semiHidden="1" w:uiPriority="99" w:unhideWhenUsed="1"/>
    <w:lsdException w:name="Light Shading Accent 1" w:semiHidden="1" w:uiPriority="99" w:unhideWhenUsed="1"/>
    <w:lsdException w:name="Light List Accent 1" w:semiHidden="1" w:uiPriority="99" w:unhideWhenUsed="1"/>
    <w:lsdException w:name="Light Grid Accent 1" w:semiHidden="1" w:uiPriority="99" w:unhideWhenUsed="1"/>
    <w:lsdException w:name="Medium Shading 1 Accent 1" w:semiHidden="1" w:uiPriority="99" w:unhideWhenUsed="1"/>
    <w:lsdException w:name="Medium Shading 2 Accent 1" w:semiHidden="1" w:uiPriority="99" w:unhideWhenUsed="1"/>
    <w:lsdException w:name="Medium List 1 Accent 1" w:semiHidden="1" w:uiPriority="99" w:unhideWhenUsed="1"/>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semiHidden="1" w:uiPriority="99" w:unhideWhenUsed="1"/>
    <w:lsdException w:name="Medium Grid 1 Accent 1" w:semiHidden="1" w:uiPriority="99" w:unhideWhenUsed="1"/>
    <w:lsdException w:name="Medium Grid 2 Accent 1" w:semiHidden="1" w:uiPriority="99" w:unhideWhenUsed="1"/>
    <w:lsdException w:name="Medium Grid 3 Accent 1" w:semiHidden="1" w:uiPriority="99" w:unhideWhenUsed="1"/>
    <w:lsdException w:name="Dark List Accent 1" w:semiHidden="1" w:uiPriority="99" w:unhideWhenUsed="1"/>
    <w:lsdException w:name="Colorful Shading Accent 1" w:semiHidden="1" w:uiPriority="99" w:unhideWhenUsed="1"/>
    <w:lsdException w:name="Colorful List Accent 1" w:semiHidden="1" w:uiPriority="99" w:unhideWhenUsed="1"/>
    <w:lsdException w:name="Colorful Grid Accent 1" w:semiHidden="1" w:uiPriority="99" w:unhideWhenUsed="1"/>
    <w:lsdException w:name="Light Shading Accent 2" w:semiHidden="1" w:uiPriority="99" w:unhideWhenUsed="1"/>
    <w:lsdException w:name="Light List Accent 2" w:semiHidden="1" w:uiPriority="99" w:unhideWhenUsed="1"/>
    <w:lsdException w:name="Light Grid Accent 2" w:semiHidden="1" w:uiPriority="99" w:unhideWhenUsed="1"/>
    <w:lsdException w:name="Medium Shading 1 Accent 2" w:semiHidden="1" w:uiPriority="99" w:unhideWhenUsed="1"/>
    <w:lsdException w:name="Medium Shading 2 Accent 2" w:semiHidden="1" w:uiPriority="99" w:unhideWhenUsed="1"/>
    <w:lsdException w:name="Medium List 1 Accent 2" w:semiHidden="1" w:uiPriority="99" w:unhideWhenUsed="1"/>
    <w:lsdException w:name="Medium List 2 Accent 2" w:semiHidden="1" w:uiPriority="99" w:unhideWhenUsed="1"/>
    <w:lsdException w:name="Medium Grid 1 Accent 2" w:semiHidden="1" w:uiPriority="99" w:unhideWhenUsed="1"/>
    <w:lsdException w:name="Medium Grid 2 Accent 2" w:semiHidden="1" w:uiPriority="99" w:unhideWhenUsed="1"/>
    <w:lsdException w:name="Medium Grid 3 Accent 2" w:semiHidden="1" w:uiPriority="99" w:unhideWhenUsed="1"/>
    <w:lsdException w:name="Dark List Accent 2" w:semiHidden="1" w:uiPriority="99" w:unhideWhenUsed="1"/>
    <w:lsdException w:name="Colorful Shading Accent 2" w:semiHidden="1" w:uiPriority="99" w:unhideWhenUsed="1"/>
    <w:lsdException w:name="Colorful List Accent 2" w:semiHidden="1" w:uiPriority="99" w:unhideWhenUsed="1"/>
    <w:lsdException w:name="Colorful Grid Accent 2" w:semiHidden="1" w:uiPriority="99" w:unhideWhenUsed="1"/>
    <w:lsdException w:name="Light Shading Accent 3" w:semiHidden="1" w:uiPriority="99" w:unhideWhenUsed="1"/>
    <w:lsdException w:name="Light List Accent 3" w:semiHidden="1" w:uiPriority="99" w:unhideWhenUsed="1"/>
    <w:lsdException w:name="Light Grid Accent 3" w:semiHidden="1" w:uiPriority="99" w:unhideWhenUsed="1"/>
    <w:lsdException w:name="Medium Shading 1 Accent 3" w:semiHidden="1" w:uiPriority="99" w:unhideWhenUsed="1"/>
    <w:lsdException w:name="Medium Shading 2 Accent 3" w:semiHidden="1" w:uiPriority="99" w:unhideWhenUsed="1"/>
    <w:lsdException w:name="Medium List 1 Accent 3" w:semiHidden="1" w:uiPriority="99" w:unhideWhenUsed="1"/>
    <w:lsdException w:name="Medium List 2 Accent 3" w:semiHidden="1" w:uiPriority="99" w:unhideWhenUsed="1"/>
    <w:lsdException w:name="Medium Grid 1 Accent 3" w:semiHidden="1" w:uiPriority="99" w:unhideWhenUsed="1"/>
    <w:lsdException w:name="Medium Grid 2 Accent 3" w:semiHidden="1" w:uiPriority="99" w:unhideWhenUsed="1"/>
    <w:lsdException w:name="Medium Grid 3 Accent 3" w:semiHidden="1" w:uiPriority="99" w:unhideWhenUsed="1"/>
    <w:lsdException w:name="Dark List Accent 3" w:semiHidden="1" w:uiPriority="99" w:unhideWhenUsed="1"/>
    <w:lsdException w:name="Colorful Shading Accent 3" w:semiHidden="1" w:uiPriority="99" w:unhideWhenUsed="1"/>
    <w:lsdException w:name="Colorful List Accent 3" w:semiHidden="1" w:uiPriority="99" w:unhideWhenUsed="1"/>
    <w:lsdException w:name="Colorful Grid Accent 3" w:semiHidden="1" w:uiPriority="99" w:unhideWhenUsed="1"/>
    <w:lsdException w:name="Light Shading Accent 4" w:semiHidden="1" w:uiPriority="99" w:unhideWhenUsed="1"/>
    <w:lsdException w:name="Light List Accent 4" w:semiHidden="1" w:uiPriority="99" w:unhideWhenUsed="1"/>
    <w:lsdException w:name="Light Grid Accent 4" w:semiHidden="1" w:uiPriority="99" w:unhideWhenUsed="1"/>
    <w:lsdException w:name="Medium Shading 1 Accent 4" w:semiHidden="1" w:uiPriority="99" w:unhideWhenUsed="1"/>
    <w:lsdException w:name="Medium Shading 2 Accent 4" w:semiHidden="1" w:uiPriority="99" w:unhideWhenUsed="1"/>
    <w:lsdException w:name="Medium List 1 Accent 4" w:semiHidden="1" w:uiPriority="99" w:unhideWhenUsed="1"/>
    <w:lsdException w:name="Medium List 2 Accent 4" w:semiHidden="1" w:uiPriority="99" w:unhideWhenUsed="1"/>
    <w:lsdException w:name="Medium Grid 1 Accent 4" w:semiHidden="1" w:uiPriority="99" w:unhideWhenUsed="1"/>
    <w:lsdException w:name="Medium Grid 2 Accent 4" w:semiHidden="1" w:uiPriority="99" w:unhideWhenUsed="1"/>
    <w:lsdException w:name="Medium Grid 3 Accent 4" w:semiHidden="1" w:uiPriority="99" w:unhideWhenUsed="1"/>
    <w:lsdException w:name="Dark List Accent 4" w:semiHidden="1" w:uiPriority="99" w:unhideWhenUsed="1"/>
    <w:lsdException w:name="Colorful Shading Accent 4" w:semiHidden="1" w:uiPriority="99" w:unhideWhenUsed="1"/>
    <w:lsdException w:name="Colorful List Accent 4" w:semiHidden="1" w:uiPriority="99" w:unhideWhenUsed="1"/>
    <w:lsdException w:name="Colorful Grid Accent 4" w:semiHidden="1" w:uiPriority="99" w:unhideWhenUsed="1"/>
    <w:lsdException w:name="Light Shading Accent 5" w:semiHidden="1" w:uiPriority="99" w:unhideWhenUsed="1"/>
    <w:lsdException w:name="Light List Accent 5" w:semiHidden="1" w:uiPriority="99" w:unhideWhenUsed="1"/>
    <w:lsdException w:name="Light Grid Accent 5" w:semiHidden="1" w:uiPriority="99" w:unhideWhenUsed="1"/>
    <w:lsdException w:name="Medium Shading 1 Accent 5" w:semiHidden="1" w:uiPriority="99" w:unhideWhenUsed="1"/>
    <w:lsdException w:name="Medium Shading 2 Accent 5" w:semiHidden="1" w:uiPriority="99" w:unhideWhenUsed="1"/>
    <w:lsdException w:name="Medium List 1 Accent 5" w:semiHidden="1" w:uiPriority="99" w:unhideWhenUsed="1"/>
    <w:lsdException w:name="Medium List 2 Accent 5" w:semiHidden="1" w:uiPriority="99" w:unhideWhenUsed="1"/>
    <w:lsdException w:name="Medium Grid 1 Accent 5" w:semiHidden="1" w:uiPriority="99" w:unhideWhenUsed="1"/>
    <w:lsdException w:name="Medium Grid 2 Accent 5" w:semiHidden="1" w:uiPriority="99" w:unhideWhenUsed="1"/>
    <w:lsdException w:name="Medium Grid 3 Accent 5" w:semiHidden="1" w:uiPriority="99" w:unhideWhenUsed="1"/>
    <w:lsdException w:name="Dark List Accent 5" w:semiHidden="1" w:uiPriority="99" w:unhideWhenUsed="1"/>
    <w:lsdException w:name="Colorful Shading Accent 5" w:semiHidden="1" w:uiPriority="99" w:unhideWhenUsed="1"/>
    <w:lsdException w:name="Colorful List Accent 5" w:semiHidden="1" w:uiPriority="99" w:unhideWhenUsed="1"/>
    <w:lsdException w:name="Colorful Grid Accent 5" w:semiHidden="1" w:uiPriority="99" w:unhideWhenUsed="1"/>
    <w:lsdException w:name="Light Shading Accent 6" w:semiHidden="1" w:uiPriority="99" w:unhideWhenUsed="1"/>
    <w:lsdException w:name="Light List Accent 6" w:semiHidden="1" w:uiPriority="99" w:unhideWhenUsed="1"/>
    <w:lsdException w:name="Light Grid Accent 6" w:semiHidden="1" w:uiPriority="99" w:unhideWhenUsed="1"/>
    <w:lsdException w:name="Medium Shading 1 Accent 6" w:semiHidden="1" w:uiPriority="99" w:unhideWhenUsed="1"/>
    <w:lsdException w:name="Medium Shading 2 Accent 6" w:semiHidden="1" w:uiPriority="99" w:unhideWhenUsed="1"/>
    <w:lsdException w:name="Medium List 1 Accent 6" w:semiHidden="1" w:uiPriority="99" w:unhideWhenUsed="1"/>
    <w:lsdException w:name="Medium List 2 Accent 6" w:semiHidden="1" w:uiPriority="99" w:unhideWhenUsed="1"/>
    <w:lsdException w:name="Medium Grid 1 Accent 6" w:semiHidden="1" w:uiPriority="99" w:unhideWhenUsed="1"/>
    <w:lsdException w:name="Medium Grid 2 Accent 6" w:semiHidden="1" w:uiPriority="99" w:unhideWhenUsed="1"/>
    <w:lsdException w:name="Medium Grid 3 Accent 6" w:semiHidden="1" w:uiPriority="99" w:unhideWhenUsed="1"/>
    <w:lsdException w:name="Dark List Accent 6" w:semiHidden="1" w:uiPriority="99" w:unhideWhenUsed="1"/>
    <w:lsdException w:name="Colorful Shading Accent 6" w:semiHidden="1" w:uiPriority="99" w:unhideWhenUsed="1"/>
    <w:lsdException w:name="Colorful List Accent 6" w:semiHidden="1" w:uiPriority="99" w:unhideWhenUsed="1"/>
    <w:lsdException w:name="Colorful Grid Accent 6" w:semiHidden="1" w:uiPriority="99"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rFonts w:asciiTheme="minorHAnsi" w:eastAsiaTheme="minorEastAsia" w:hAnsiTheme="minorHAnsi" w:cstheme="minorBidi"/>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FF"/>
      <w:u w:val="single"/>
    </w:rPr>
  </w:style>
  <w:style w:type="paragraph" w:styleId="a4">
    <w:name w:val="Normal (Web)"/>
    <w:pPr>
      <w:spacing w:beforeAutospacing="1" w:afterAutospacing="1"/>
    </w:pPr>
    <w:rPr>
      <w:sz w:val="24"/>
      <w:szCs w:val="24"/>
      <w:lang w:val="en-US" w:eastAsia="zh-CN"/>
    </w:rPr>
  </w:style>
  <w:style w:type="paragraph" w:styleId="a5">
    <w:name w:val="Balloon Text"/>
    <w:basedOn w:val="a"/>
    <w:link w:val="a6"/>
    <w:rsid w:val="008A3FEF"/>
    <w:rPr>
      <w:rFonts w:ascii="Tahoma" w:hAnsi="Tahoma" w:cs="Tahoma"/>
      <w:sz w:val="16"/>
      <w:szCs w:val="16"/>
    </w:rPr>
  </w:style>
  <w:style w:type="character" w:customStyle="1" w:styleId="a6">
    <w:name w:val="Текст выноски Знак"/>
    <w:basedOn w:val="a0"/>
    <w:link w:val="a5"/>
    <w:rsid w:val="008A3FEF"/>
    <w:rPr>
      <w:rFonts w:ascii="Tahoma" w:eastAsiaTheme="minorEastAsia" w:hAnsi="Tahoma" w:cs="Tahoma"/>
      <w:sz w:val="16"/>
      <w:szCs w:val="16"/>
      <w:lang w:val="en-US" w:eastAsia="zh-CN"/>
    </w:rPr>
  </w:style>
  <w:style w:type="table" w:styleId="a7">
    <w:name w:val="Table Grid"/>
    <w:basedOn w:val="a1"/>
    <w:rsid w:val="008A3FE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99"/>
    <w:unhideWhenUsed/>
    <w:rsid w:val="00CD658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16/j.petrol.2019.05.06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760</Words>
  <Characters>4336</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5086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MikhailSizov</cp:lastModifiedBy>
  <cp:revision>5</cp:revision>
  <dcterms:created xsi:type="dcterms:W3CDTF">2025-09-28T18:34:00Z</dcterms:created>
  <dcterms:modified xsi:type="dcterms:W3CDTF">2025-10-03T17:10:00Z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1049-12.2.0.23131</vt:lpwstr>
  </property>
  <property fmtid="{D5CDD505-2E9C-101B-9397-08002B2CF9AE}" pid="3" name="ICV">
    <vt:lpwstr>C915907D19034A7682DBAEC6C47EA7D5_12</vt:lpwstr>
  </property>
</Properties>
</file>